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AC3B7" w14:textId="3940ACAB" w:rsidR="004F0B52" w:rsidRPr="004F0B52" w:rsidRDefault="004F0B52" w:rsidP="004F0B52">
      <w:pPr>
        <w:rPr>
          <w:rFonts w:ascii="Tw Cen MT" w:eastAsiaTheme="minorHAnsi" w:hAnsi="Tw Cen MT" w:cstheme="minorBidi"/>
          <w:b/>
          <w:color w:val="1F96A2"/>
          <w:spacing w:val="15"/>
          <w:sz w:val="28"/>
          <w:szCs w:val="28"/>
          <w:lang w:eastAsia="en-US"/>
        </w:rPr>
      </w:pPr>
      <w:bookmarkStart w:id="0" w:name="_GoBack"/>
      <w:bookmarkEnd w:id="0"/>
      <w:r w:rsidRPr="004F0B52">
        <w:rPr>
          <w:rFonts w:ascii="Tw Cen MT" w:eastAsiaTheme="minorHAnsi" w:hAnsi="Tw Cen MT" w:cstheme="minorBidi"/>
          <w:b/>
          <w:color w:val="1F96A2"/>
          <w:spacing w:val="15"/>
          <w:sz w:val="28"/>
          <w:szCs w:val="28"/>
          <w:lang w:eastAsia="en-US"/>
        </w:rPr>
        <w:t>COVID-19: AMPELSYSTEM</w:t>
      </w:r>
    </w:p>
    <w:p w14:paraId="012CFCC8" w14:textId="77777777" w:rsidR="004F0B52" w:rsidRPr="004F0B52" w:rsidRDefault="004F0B52" w:rsidP="004F0B52">
      <w:pPr>
        <w:rPr>
          <w:rFonts w:ascii="Tw Cen MT" w:hAnsi="Tw Cen MT"/>
          <w:noProof/>
          <w:sz w:val="24"/>
        </w:rPr>
      </w:pPr>
    </w:p>
    <w:p w14:paraId="08870B10" w14:textId="11FA3FE1" w:rsidR="004F0B52" w:rsidRDefault="004F0B52" w:rsidP="004F0B52">
      <w:pPr>
        <w:rPr>
          <w:rFonts w:ascii="Tw Cen MT" w:hAnsi="Tw Cen MT"/>
          <w:noProof/>
          <w:sz w:val="24"/>
        </w:rPr>
      </w:pPr>
      <w:r w:rsidRPr="004F0B52">
        <w:rPr>
          <w:rFonts w:ascii="Tw Cen MT" w:hAnsi="Tw Cen MT"/>
          <w:noProof/>
          <w:sz w:val="24"/>
        </w:rPr>
        <w:t xml:space="preserve">Das Bundesministerium für Bildung, Wissenschaft und Forschung hat ein sogenanntes </w:t>
      </w:r>
      <w:r>
        <w:rPr>
          <w:rFonts w:ascii="Tw Cen MT" w:hAnsi="Tw Cen MT"/>
          <w:noProof/>
          <w:sz w:val="24"/>
        </w:rPr>
        <w:t>Corona-</w:t>
      </w:r>
      <w:r w:rsidRPr="004F0B52">
        <w:rPr>
          <w:rFonts w:ascii="Tw Cen MT" w:hAnsi="Tw Cen MT"/>
          <w:noProof/>
          <w:sz w:val="24"/>
        </w:rPr>
        <w:t>Ampelsystem veröffentlicht</w:t>
      </w:r>
      <w:r>
        <w:rPr>
          <w:rFonts w:ascii="Tw Cen MT" w:hAnsi="Tw Cen MT"/>
          <w:noProof/>
          <w:sz w:val="24"/>
        </w:rPr>
        <w:t xml:space="preserve">, dessen Ziel es ist, bei lokalen Ausbrüchen möglichst kleinräumige Eingriffe im Bildungssystem zu ermöglichen. </w:t>
      </w:r>
      <w:r w:rsidR="00614ABC">
        <w:rPr>
          <w:rFonts w:ascii="Tw Cen MT" w:hAnsi="Tw Cen MT"/>
          <w:noProof/>
          <w:sz w:val="24"/>
        </w:rPr>
        <w:t xml:space="preserve">Sie ist als Stufenplan in der regionalen Covid-19-Bekämpfung konzipiert. </w:t>
      </w:r>
      <w:r>
        <w:rPr>
          <w:rFonts w:ascii="Tw Cen MT" w:hAnsi="Tw Cen MT"/>
          <w:noProof/>
          <w:sz w:val="24"/>
        </w:rPr>
        <w:t xml:space="preserve">Die jeweilige Farbe wird von der regionalen Gesundheitsbehörde festgelegt. </w:t>
      </w:r>
    </w:p>
    <w:p w14:paraId="4748625D" w14:textId="77777777" w:rsidR="004F0B52" w:rsidRDefault="004F0B52" w:rsidP="004F0B52">
      <w:pPr>
        <w:rPr>
          <w:rFonts w:ascii="Tw Cen MT" w:hAnsi="Tw Cen MT"/>
          <w:noProof/>
          <w:sz w:val="24"/>
        </w:rPr>
      </w:pPr>
    </w:p>
    <w:p w14:paraId="2B285E15" w14:textId="4534A754" w:rsidR="004F0B52" w:rsidRDefault="00614ABC" w:rsidP="004F0B52">
      <w:pPr>
        <w:rPr>
          <w:rFonts w:ascii="Tw Cen MT" w:hAnsi="Tw Cen MT"/>
          <w:noProof/>
          <w:sz w:val="24"/>
        </w:rPr>
      </w:pPr>
      <w:r>
        <w:rPr>
          <w:rFonts w:ascii="Tw Cen MT" w:hAnsi="Tw Cen MT"/>
          <w:noProof/>
          <w:sz w:val="24"/>
        </w:rPr>
        <w:t xml:space="preserve">Das Corona-Ampelsystem </w:t>
      </w:r>
      <w:r w:rsidR="002F3DA6">
        <w:rPr>
          <w:rFonts w:ascii="Tw Cen MT" w:hAnsi="Tw Cen MT"/>
          <w:noProof/>
          <w:sz w:val="24"/>
        </w:rPr>
        <w:t>zielt</w:t>
      </w:r>
      <w:r>
        <w:rPr>
          <w:rFonts w:ascii="Tw Cen MT" w:hAnsi="Tw Cen MT"/>
          <w:noProof/>
          <w:sz w:val="24"/>
        </w:rPr>
        <w:t xml:space="preserve"> darauf ab, mit den vier Warnstufen auf eine</w:t>
      </w:r>
      <w:r w:rsidR="002F3DA6">
        <w:rPr>
          <w:rFonts w:ascii="Tw Cen MT" w:hAnsi="Tw Cen MT"/>
          <w:noProof/>
          <w:sz w:val="24"/>
        </w:rPr>
        <w:t>n</w:t>
      </w:r>
      <w:r>
        <w:rPr>
          <w:rFonts w:ascii="Tw Cen MT" w:hAnsi="Tw Cen MT"/>
          <w:noProof/>
          <w:sz w:val="24"/>
        </w:rPr>
        <w:t xml:space="preserve"> Blick zu erkennen, welche Vorkehrungen getroffen und welche Regeln beachtet werden müssen. </w:t>
      </w:r>
    </w:p>
    <w:p w14:paraId="32592752" w14:textId="21465201" w:rsidR="00614ABC" w:rsidRDefault="00614ABC" w:rsidP="004F0B52">
      <w:pPr>
        <w:rPr>
          <w:rFonts w:ascii="Tw Cen MT" w:hAnsi="Tw Cen MT"/>
          <w:noProof/>
          <w:sz w:val="24"/>
        </w:rPr>
      </w:pPr>
    </w:p>
    <w:p w14:paraId="3FA21DEA" w14:textId="77777777" w:rsidR="00B61EC2" w:rsidRPr="004F0B52" w:rsidRDefault="00B61EC2" w:rsidP="00B61EC2">
      <w:pPr>
        <w:rPr>
          <w:rFonts w:ascii="Tw Cen MT" w:hAnsi="Tw Cen MT"/>
          <w:noProof/>
          <w:sz w:val="24"/>
        </w:rPr>
      </w:pPr>
      <w:r w:rsidRPr="004F0B52">
        <w:rPr>
          <w:rFonts w:ascii="Tw Cen MT" w:hAnsi="Tw Cen MT"/>
          <w:noProof/>
          <w:sz w:val="24"/>
        </w:rPr>
        <w:t>Die Ampelfarben werden durch die Gesundheitsbehörde (Bezirkshauptmannschaft) vorgegeben und regeln die Hygienemaßnahmen in der jeweiligen Phase.</w:t>
      </w:r>
    </w:p>
    <w:p w14:paraId="5FAFECC3" w14:textId="77777777" w:rsidR="00B61EC2" w:rsidRDefault="00B61EC2" w:rsidP="004F0B52">
      <w:pPr>
        <w:rPr>
          <w:rFonts w:ascii="Tw Cen MT" w:hAnsi="Tw Cen MT"/>
          <w:noProof/>
          <w:sz w:val="24"/>
        </w:rPr>
      </w:pPr>
    </w:p>
    <w:p w14:paraId="21C4A258" w14:textId="233F8840" w:rsidR="00614ABC" w:rsidRPr="004F0B52" w:rsidRDefault="00614ABC" w:rsidP="004F0B52">
      <w:pPr>
        <w:rPr>
          <w:rFonts w:ascii="Tw Cen MT" w:hAnsi="Tw Cen MT"/>
          <w:noProof/>
          <w:sz w:val="24"/>
        </w:rPr>
      </w:pPr>
      <w:r>
        <w:rPr>
          <w:rFonts w:ascii="Tw Cen MT" w:hAnsi="Tw Cen MT"/>
          <w:noProof/>
          <w:sz w:val="24"/>
        </w:rPr>
        <w:t>In der Sekundarstufe II (14</w:t>
      </w:r>
      <w:r w:rsidR="00692A75">
        <w:rPr>
          <w:rFonts w:ascii="Tw Cen MT" w:hAnsi="Tw Cen MT"/>
          <w:noProof/>
          <w:sz w:val="24"/>
        </w:rPr>
        <w:t xml:space="preserve"> bis </w:t>
      </w:r>
      <w:r>
        <w:rPr>
          <w:rFonts w:ascii="Tw Cen MT" w:hAnsi="Tw Cen MT"/>
          <w:noProof/>
          <w:sz w:val="24"/>
        </w:rPr>
        <w:t>19</w:t>
      </w:r>
      <w:r w:rsidR="00692A75">
        <w:rPr>
          <w:rFonts w:ascii="Tw Cen MT" w:hAnsi="Tw Cen MT"/>
          <w:noProof/>
          <w:sz w:val="24"/>
        </w:rPr>
        <w:t>-</w:t>
      </w:r>
      <w:r w:rsidR="002F3DA6">
        <w:rPr>
          <w:rFonts w:ascii="Tw Cen MT" w:hAnsi="Tw Cen MT"/>
          <w:noProof/>
          <w:sz w:val="24"/>
        </w:rPr>
        <w:t>J</w:t>
      </w:r>
      <w:r>
        <w:rPr>
          <w:rFonts w:ascii="Tw Cen MT" w:hAnsi="Tw Cen MT"/>
          <w:noProof/>
          <w:sz w:val="24"/>
        </w:rPr>
        <w:t xml:space="preserve">ährige) sind folgende Maßnahmen in den einzelnen Ampelphasen vorgesehen: </w:t>
      </w:r>
    </w:p>
    <w:p w14:paraId="46AE2385" w14:textId="44ABFFA6" w:rsidR="004F0B52" w:rsidRPr="004F0B52" w:rsidRDefault="004F0B52" w:rsidP="004F0B52">
      <w:pPr>
        <w:rPr>
          <w:rFonts w:ascii="Tw Cen MT" w:hAnsi="Tw Cen MT"/>
          <w:noProof/>
          <w:sz w:val="24"/>
        </w:rPr>
      </w:pPr>
    </w:p>
    <w:tbl>
      <w:tblPr>
        <w:tblW w:w="0" w:type="auto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80" w:firstRow="0" w:lastRow="0" w:firstColumn="1" w:lastColumn="0" w:noHBand="0" w:noVBand="1"/>
      </w:tblPr>
      <w:tblGrid>
        <w:gridCol w:w="3652"/>
        <w:gridCol w:w="5560"/>
      </w:tblGrid>
      <w:tr w:rsidR="004F0B52" w:rsidRPr="004F0B52" w14:paraId="710191AB" w14:textId="77777777" w:rsidTr="00614ABC">
        <w:tc>
          <w:tcPr>
            <w:tcW w:w="3652" w:type="dxa"/>
            <w:shd w:val="clear" w:color="auto" w:fill="00B050"/>
          </w:tcPr>
          <w:p w14:paraId="54B1C190" w14:textId="77777777" w:rsidR="002F3DA6" w:rsidRDefault="002F3DA6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</w:p>
          <w:p w14:paraId="60F13798" w14:textId="5F40D17E" w:rsidR="002F3DA6" w:rsidRDefault="004F0B52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 w:rsidRPr="004F0B52">
              <w:rPr>
                <w:rFonts w:ascii="Tw Cen MT" w:hAnsi="Tw Cen MT"/>
                <w:b/>
                <w:bCs/>
                <w:noProof/>
                <w:sz w:val="24"/>
              </w:rPr>
              <w:t>Ampelphase „Grün“</w:t>
            </w:r>
            <w:r w:rsidR="002F3DA6">
              <w:rPr>
                <w:rFonts w:ascii="Tw Cen MT" w:hAnsi="Tw Cen MT"/>
                <w:b/>
                <w:bCs/>
                <w:noProof/>
                <w:sz w:val="24"/>
              </w:rPr>
              <w:t>:</w:t>
            </w:r>
          </w:p>
          <w:p w14:paraId="4E8896BC" w14:textId="77777777" w:rsidR="004F0B52" w:rsidRDefault="00614ABC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>
              <w:rPr>
                <w:rFonts w:ascii="Tw Cen MT" w:hAnsi="Tw Cen MT"/>
                <w:b/>
                <w:bCs/>
                <w:noProof/>
                <w:sz w:val="24"/>
              </w:rPr>
              <w:t xml:space="preserve">kein bzw. </w:t>
            </w:r>
            <w:r w:rsidR="004F0B52" w:rsidRPr="004F0B52">
              <w:rPr>
                <w:rFonts w:ascii="Tw Cen MT" w:hAnsi="Tw Cen MT"/>
                <w:b/>
                <w:bCs/>
                <w:noProof/>
                <w:sz w:val="24"/>
              </w:rPr>
              <w:t>geringes Risiko</w:t>
            </w:r>
          </w:p>
          <w:p w14:paraId="219581A1" w14:textId="425B95A4" w:rsidR="002F3DA6" w:rsidRPr="004F0B52" w:rsidRDefault="002F3DA6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</w:p>
        </w:tc>
        <w:tc>
          <w:tcPr>
            <w:tcW w:w="5560" w:type="dxa"/>
            <w:shd w:val="clear" w:color="auto" w:fill="00B050"/>
          </w:tcPr>
          <w:p w14:paraId="798E47BF" w14:textId="77777777" w:rsidR="002F3DA6" w:rsidRDefault="002F3DA6" w:rsidP="00AD4914">
            <w:pPr>
              <w:rPr>
                <w:rFonts w:ascii="Tw Cen MT" w:hAnsi="Tw Cen MT"/>
                <w:noProof/>
                <w:sz w:val="24"/>
              </w:rPr>
            </w:pPr>
          </w:p>
          <w:p w14:paraId="7F9ACEEF" w14:textId="690B8230" w:rsidR="004F0B52" w:rsidRPr="004F0B52" w:rsidRDefault="004F0B52" w:rsidP="00AD4914">
            <w:p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Normalbetrieb mit Hygienevorkehrungen</w:t>
            </w:r>
          </w:p>
        </w:tc>
      </w:tr>
      <w:tr w:rsidR="004F0B52" w:rsidRPr="004F0B52" w14:paraId="413CDD64" w14:textId="77777777" w:rsidTr="00614ABC">
        <w:tc>
          <w:tcPr>
            <w:tcW w:w="3652" w:type="dxa"/>
            <w:shd w:val="clear" w:color="auto" w:fill="FFFF00"/>
          </w:tcPr>
          <w:p w14:paraId="19BB0317" w14:textId="77777777" w:rsidR="002F3DA6" w:rsidRDefault="002F3DA6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</w:p>
          <w:p w14:paraId="777008E6" w14:textId="62636232" w:rsidR="002F3DA6" w:rsidRDefault="004F0B52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 w:rsidRPr="004F0B52">
              <w:rPr>
                <w:rFonts w:ascii="Tw Cen MT" w:hAnsi="Tw Cen MT"/>
                <w:b/>
                <w:bCs/>
                <w:noProof/>
                <w:sz w:val="24"/>
              </w:rPr>
              <w:t>Ampelphase „Gelb“</w:t>
            </w:r>
            <w:r w:rsidR="002F3DA6">
              <w:rPr>
                <w:rFonts w:ascii="Tw Cen MT" w:hAnsi="Tw Cen MT"/>
                <w:b/>
                <w:bCs/>
                <w:noProof/>
                <w:sz w:val="24"/>
              </w:rPr>
              <w:t>:</w:t>
            </w:r>
          </w:p>
          <w:p w14:paraId="643E4E38" w14:textId="0416BD7D" w:rsidR="004F0B52" w:rsidRPr="004F0B52" w:rsidRDefault="004F0B52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 w:rsidRPr="004F0B52">
              <w:rPr>
                <w:rFonts w:ascii="Tw Cen MT" w:hAnsi="Tw Cen MT"/>
                <w:b/>
                <w:bCs/>
                <w:noProof/>
                <w:sz w:val="24"/>
              </w:rPr>
              <w:t>moderates Risiko</w:t>
            </w:r>
          </w:p>
        </w:tc>
        <w:tc>
          <w:tcPr>
            <w:tcW w:w="5560" w:type="dxa"/>
            <w:shd w:val="clear" w:color="auto" w:fill="FFFF00"/>
          </w:tcPr>
          <w:p w14:paraId="56AF2BD9" w14:textId="77777777" w:rsidR="002F3DA6" w:rsidRDefault="002F3DA6" w:rsidP="00AD4914">
            <w:pPr>
              <w:rPr>
                <w:rFonts w:ascii="Tw Cen MT" w:hAnsi="Tw Cen MT"/>
                <w:noProof/>
                <w:sz w:val="24"/>
              </w:rPr>
            </w:pPr>
          </w:p>
          <w:p w14:paraId="454BB959" w14:textId="58BC9BBB" w:rsidR="004F0B52" w:rsidRDefault="004F0B52" w:rsidP="00AD4914">
            <w:p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mit verstärkten Hygienebestimmungen</w:t>
            </w:r>
            <w:r w:rsidR="00614ABC">
              <w:rPr>
                <w:rFonts w:ascii="Tw Cen MT" w:hAnsi="Tw Cen MT"/>
                <w:noProof/>
                <w:sz w:val="24"/>
              </w:rPr>
              <w:t>: wie grün und zusätzlich:</w:t>
            </w:r>
          </w:p>
          <w:p w14:paraId="0512609B" w14:textId="567EB5E1" w:rsidR="004F0B52" w:rsidRPr="004F0B52" w:rsidRDefault="004F0B52" w:rsidP="004F0B52">
            <w:pPr>
              <w:numPr>
                <w:ilvl w:val="0"/>
                <w:numId w:val="1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 xml:space="preserve">Mund-Nasen-Schutz </w:t>
            </w:r>
            <w:r w:rsidR="00614ABC">
              <w:rPr>
                <w:rFonts w:ascii="Tw Cen MT" w:hAnsi="Tw Cen MT"/>
                <w:noProof/>
                <w:sz w:val="24"/>
              </w:rPr>
              <w:t xml:space="preserve">verpflichtend </w:t>
            </w:r>
            <w:r w:rsidRPr="004F0B52">
              <w:rPr>
                <w:rFonts w:ascii="Tw Cen MT" w:hAnsi="Tw Cen MT"/>
                <w:noProof/>
                <w:sz w:val="24"/>
              </w:rPr>
              <w:t>außerhalb der Klasse</w:t>
            </w:r>
          </w:p>
          <w:p w14:paraId="2D10C28C" w14:textId="77777777" w:rsidR="004F0B52" w:rsidRPr="004F0B52" w:rsidRDefault="004F0B52" w:rsidP="004F0B52">
            <w:pPr>
              <w:numPr>
                <w:ilvl w:val="0"/>
                <w:numId w:val="1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Mund-Nasen-Schutz verpflichtend für schulfremde Personen</w:t>
            </w:r>
          </w:p>
          <w:p w14:paraId="77043D16" w14:textId="46C75774" w:rsidR="004F0B52" w:rsidRPr="004F0B52" w:rsidRDefault="004F0B52" w:rsidP="004F0B52">
            <w:pPr>
              <w:numPr>
                <w:ilvl w:val="0"/>
                <w:numId w:val="1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Sport vorwiegend im Freien</w:t>
            </w:r>
            <w:r w:rsidR="00614ABC">
              <w:rPr>
                <w:rFonts w:ascii="Tw Cen MT" w:hAnsi="Tw Cen MT"/>
                <w:noProof/>
                <w:sz w:val="24"/>
              </w:rPr>
              <w:t xml:space="preserve"> oder unter besonderen Auflagen</w:t>
            </w:r>
          </w:p>
          <w:p w14:paraId="67D132B0" w14:textId="77777777" w:rsidR="00614ABC" w:rsidRDefault="00614ABC" w:rsidP="00614ABC">
            <w:pPr>
              <w:numPr>
                <w:ilvl w:val="0"/>
                <w:numId w:val="1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 xml:space="preserve">Singen nur im Freien oder mit MNS </w:t>
            </w:r>
          </w:p>
          <w:p w14:paraId="37B9C8CD" w14:textId="77777777" w:rsidR="004F0B52" w:rsidRDefault="004F0B52" w:rsidP="00614ABC">
            <w:pPr>
              <w:numPr>
                <w:ilvl w:val="0"/>
                <w:numId w:val="1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Wenn Schließung von Klassen/Schule</w:t>
            </w:r>
            <w:r w:rsidR="00614ABC">
              <w:rPr>
                <w:rFonts w:ascii="Tw Cen MT" w:hAnsi="Tw Cen MT"/>
                <w:noProof/>
                <w:sz w:val="24"/>
              </w:rPr>
              <w:t>:</w:t>
            </w:r>
            <w:r w:rsidRPr="004F0B52">
              <w:rPr>
                <w:rFonts w:ascii="Tw Cen MT" w:hAnsi="Tw Cen MT"/>
                <w:noProof/>
                <w:sz w:val="24"/>
              </w:rPr>
              <w:t xml:space="preserve"> Umstellung auf Distance-Learning</w:t>
            </w:r>
          </w:p>
          <w:p w14:paraId="723A4A2F" w14:textId="33A40DFF" w:rsidR="00B61EC2" w:rsidRPr="00614ABC" w:rsidRDefault="00B61EC2" w:rsidP="00B61EC2">
            <w:pPr>
              <w:ind w:left="720"/>
              <w:rPr>
                <w:rFonts w:ascii="Tw Cen MT" w:hAnsi="Tw Cen MT"/>
                <w:noProof/>
                <w:sz w:val="24"/>
              </w:rPr>
            </w:pPr>
          </w:p>
        </w:tc>
      </w:tr>
      <w:tr w:rsidR="004F0B52" w:rsidRPr="004F0B52" w14:paraId="126045DD" w14:textId="77777777" w:rsidTr="00B61EC2">
        <w:tc>
          <w:tcPr>
            <w:tcW w:w="3652" w:type="dxa"/>
            <w:shd w:val="clear" w:color="auto" w:fill="FFC000"/>
          </w:tcPr>
          <w:p w14:paraId="31E8529A" w14:textId="77777777" w:rsidR="002F3DA6" w:rsidRDefault="002F3DA6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</w:p>
          <w:p w14:paraId="68C049F1" w14:textId="193218A6" w:rsidR="002F3DA6" w:rsidRDefault="004F0B52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 w:rsidRPr="004F0B52">
              <w:rPr>
                <w:rFonts w:ascii="Tw Cen MT" w:hAnsi="Tw Cen MT"/>
                <w:b/>
                <w:bCs/>
                <w:noProof/>
                <w:sz w:val="24"/>
              </w:rPr>
              <w:t>Ampelphase „Orange“</w:t>
            </w:r>
            <w:r w:rsidR="002F3DA6">
              <w:rPr>
                <w:rFonts w:ascii="Tw Cen MT" w:hAnsi="Tw Cen MT"/>
                <w:b/>
                <w:bCs/>
                <w:noProof/>
                <w:sz w:val="24"/>
              </w:rPr>
              <w:t>:</w:t>
            </w:r>
          </w:p>
          <w:p w14:paraId="570629F5" w14:textId="6B6DA783" w:rsidR="004F0B52" w:rsidRPr="004F0B52" w:rsidRDefault="004F0B52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 w:rsidRPr="004F0B52">
              <w:rPr>
                <w:rFonts w:ascii="Tw Cen MT" w:hAnsi="Tw Cen MT"/>
                <w:b/>
                <w:bCs/>
                <w:noProof/>
                <w:sz w:val="24"/>
              </w:rPr>
              <w:t>hohes Risiko</w:t>
            </w:r>
          </w:p>
        </w:tc>
        <w:tc>
          <w:tcPr>
            <w:tcW w:w="5560" w:type="dxa"/>
            <w:shd w:val="clear" w:color="auto" w:fill="FFC000"/>
          </w:tcPr>
          <w:p w14:paraId="2A6A58F5" w14:textId="77777777" w:rsidR="002F3DA6" w:rsidRDefault="002F3DA6" w:rsidP="00AD4914">
            <w:pPr>
              <w:rPr>
                <w:rFonts w:ascii="Tw Cen MT" w:hAnsi="Tw Cen MT"/>
                <w:noProof/>
                <w:sz w:val="24"/>
              </w:rPr>
            </w:pPr>
          </w:p>
          <w:p w14:paraId="228473AC" w14:textId="38B59D8F" w:rsidR="004F0B52" w:rsidRDefault="004F0B52" w:rsidP="00AD4914">
            <w:p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Betrieb mit erhöhten Schutzmaßnahmen und selbstorganisierte</w:t>
            </w:r>
            <w:r w:rsidR="002F3DA6">
              <w:rPr>
                <w:rFonts w:ascii="Tw Cen MT" w:hAnsi="Tw Cen MT"/>
                <w:noProof/>
                <w:sz w:val="24"/>
              </w:rPr>
              <w:t>m</w:t>
            </w:r>
            <w:r w:rsidRPr="004F0B52">
              <w:rPr>
                <w:rFonts w:ascii="Tw Cen MT" w:hAnsi="Tw Cen MT"/>
                <w:noProof/>
                <w:sz w:val="24"/>
              </w:rPr>
              <w:t xml:space="preserve"> Lernen</w:t>
            </w:r>
            <w:r w:rsidR="00B61EC2">
              <w:rPr>
                <w:rFonts w:ascii="Tw Cen MT" w:hAnsi="Tw Cen MT"/>
                <w:noProof/>
                <w:sz w:val="24"/>
              </w:rPr>
              <w:t>: w</w:t>
            </w:r>
            <w:r w:rsidRPr="004F0B52">
              <w:rPr>
                <w:rFonts w:ascii="Tw Cen MT" w:hAnsi="Tw Cen MT"/>
                <w:noProof/>
                <w:sz w:val="24"/>
              </w:rPr>
              <w:t>ie „gelb“</w:t>
            </w:r>
            <w:r w:rsidR="00B61EC2">
              <w:rPr>
                <w:rFonts w:ascii="Tw Cen MT" w:hAnsi="Tw Cen MT"/>
                <w:noProof/>
                <w:sz w:val="24"/>
              </w:rPr>
              <w:t xml:space="preserve"> und</w:t>
            </w:r>
            <w:r w:rsidRPr="004F0B52">
              <w:rPr>
                <w:rFonts w:ascii="Tw Cen MT" w:hAnsi="Tw Cen MT"/>
                <w:noProof/>
                <w:sz w:val="24"/>
              </w:rPr>
              <w:t xml:space="preserve"> zusätzlich: </w:t>
            </w:r>
          </w:p>
          <w:p w14:paraId="4E5654E4" w14:textId="7FAA4EFA" w:rsidR="004F0B52" w:rsidRPr="004F0B52" w:rsidRDefault="004F0B52" w:rsidP="004F0B52">
            <w:pPr>
              <w:numPr>
                <w:ilvl w:val="0"/>
                <w:numId w:val="2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Umstellung auf Distance-Learning mit schulautonomer Möglichkeit, kleinere Gruppen weiterhin im Präsenzunterricht zu unterrichten (zB Küchenführung- und Restaurantmanagement, zeitweises Schichtsystem)</w:t>
            </w:r>
          </w:p>
          <w:p w14:paraId="61038CA3" w14:textId="77777777" w:rsidR="004F0B52" w:rsidRPr="004F0B52" w:rsidRDefault="004F0B52" w:rsidP="004F0B52">
            <w:pPr>
              <w:numPr>
                <w:ilvl w:val="0"/>
                <w:numId w:val="2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Keine Schulveranstaltungen wie Exkrsionen usw.</w:t>
            </w:r>
          </w:p>
          <w:p w14:paraId="603732F0" w14:textId="77777777" w:rsidR="004F0B52" w:rsidRPr="004F0B52" w:rsidRDefault="004F0B52" w:rsidP="004F0B52">
            <w:pPr>
              <w:numPr>
                <w:ilvl w:val="0"/>
                <w:numId w:val="2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Keine Teilnahme schulfremder Personen (zB Projekte, Vorträge,…)</w:t>
            </w:r>
          </w:p>
          <w:p w14:paraId="40AA0657" w14:textId="77777777" w:rsidR="004F0B52" w:rsidRPr="004F0B52" w:rsidRDefault="004F0B52" w:rsidP="004F0B52">
            <w:pPr>
              <w:numPr>
                <w:ilvl w:val="0"/>
                <w:numId w:val="2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Kein Singen in geschlossenen Räumen</w:t>
            </w:r>
          </w:p>
          <w:p w14:paraId="215213D9" w14:textId="77777777" w:rsidR="004F0B52" w:rsidRDefault="004F0B52" w:rsidP="004F0B52">
            <w:pPr>
              <w:numPr>
                <w:ilvl w:val="0"/>
                <w:numId w:val="2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Konferenzen nur noch online</w:t>
            </w:r>
          </w:p>
          <w:p w14:paraId="55C219B0" w14:textId="43A4B8CB" w:rsidR="00B61EC2" w:rsidRPr="004F0B52" w:rsidRDefault="00B61EC2" w:rsidP="00B61EC2">
            <w:pPr>
              <w:ind w:left="720"/>
              <w:rPr>
                <w:rFonts w:ascii="Tw Cen MT" w:hAnsi="Tw Cen MT"/>
                <w:noProof/>
                <w:sz w:val="24"/>
              </w:rPr>
            </w:pPr>
          </w:p>
        </w:tc>
      </w:tr>
      <w:tr w:rsidR="004F0B52" w:rsidRPr="004F0B52" w14:paraId="30429341" w14:textId="77777777" w:rsidTr="00B61EC2">
        <w:tc>
          <w:tcPr>
            <w:tcW w:w="3652" w:type="dxa"/>
            <w:shd w:val="clear" w:color="auto" w:fill="FF0000"/>
          </w:tcPr>
          <w:p w14:paraId="4DA4338F" w14:textId="77777777" w:rsidR="002F3DA6" w:rsidRDefault="002F3DA6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</w:p>
          <w:p w14:paraId="27B82A70" w14:textId="4CE378F5" w:rsidR="002F3DA6" w:rsidRDefault="004F0B52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 w:rsidRPr="004F0B52">
              <w:rPr>
                <w:rFonts w:ascii="Tw Cen MT" w:hAnsi="Tw Cen MT"/>
                <w:b/>
                <w:bCs/>
                <w:noProof/>
                <w:sz w:val="24"/>
              </w:rPr>
              <w:t>Ampelphase „Rot“</w:t>
            </w:r>
            <w:r w:rsidR="002F3DA6">
              <w:rPr>
                <w:rFonts w:ascii="Tw Cen MT" w:hAnsi="Tw Cen MT"/>
                <w:b/>
                <w:bCs/>
                <w:noProof/>
                <w:sz w:val="24"/>
              </w:rPr>
              <w:t>:</w:t>
            </w:r>
          </w:p>
          <w:p w14:paraId="1264E95C" w14:textId="0B3FC012" w:rsidR="004F0B52" w:rsidRPr="004F0B52" w:rsidRDefault="004F0B52" w:rsidP="00AD4914">
            <w:pPr>
              <w:rPr>
                <w:rFonts w:ascii="Tw Cen MT" w:hAnsi="Tw Cen MT"/>
                <w:b/>
                <w:bCs/>
                <w:noProof/>
                <w:sz w:val="24"/>
              </w:rPr>
            </w:pPr>
            <w:r w:rsidRPr="004F0B52">
              <w:rPr>
                <w:rFonts w:ascii="Tw Cen MT" w:hAnsi="Tw Cen MT"/>
                <w:b/>
                <w:bCs/>
                <w:noProof/>
                <w:sz w:val="24"/>
              </w:rPr>
              <w:t>Sehr hohes Risiko</w:t>
            </w:r>
          </w:p>
        </w:tc>
        <w:tc>
          <w:tcPr>
            <w:tcW w:w="5560" w:type="dxa"/>
            <w:shd w:val="clear" w:color="auto" w:fill="FF0000"/>
          </w:tcPr>
          <w:p w14:paraId="485D3CD5" w14:textId="77777777" w:rsidR="002F3DA6" w:rsidRDefault="002F3DA6" w:rsidP="00AD4914">
            <w:pPr>
              <w:rPr>
                <w:rFonts w:ascii="Tw Cen MT" w:hAnsi="Tw Cen MT"/>
                <w:noProof/>
                <w:sz w:val="24"/>
              </w:rPr>
            </w:pPr>
          </w:p>
          <w:p w14:paraId="44591922" w14:textId="2F5AC5A6" w:rsidR="004F0B52" w:rsidRDefault="004F0B52" w:rsidP="00AD4914">
            <w:p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Notbetrieb</w:t>
            </w:r>
          </w:p>
          <w:p w14:paraId="5BA290AF" w14:textId="77777777" w:rsidR="004F0B52" w:rsidRDefault="004F0B52" w:rsidP="004F0B52">
            <w:pPr>
              <w:numPr>
                <w:ilvl w:val="0"/>
                <w:numId w:val="3"/>
              </w:numPr>
              <w:rPr>
                <w:rFonts w:ascii="Tw Cen MT" w:hAnsi="Tw Cen MT"/>
                <w:noProof/>
                <w:sz w:val="24"/>
              </w:rPr>
            </w:pPr>
            <w:r w:rsidRPr="004F0B52">
              <w:rPr>
                <w:rFonts w:ascii="Tw Cen MT" w:hAnsi="Tw Cen MT"/>
                <w:noProof/>
                <w:sz w:val="24"/>
              </w:rPr>
              <w:t>Umstellung auf Distance-Learning</w:t>
            </w:r>
          </w:p>
          <w:p w14:paraId="2925F55C" w14:textId="1149E9FF" w:rsidR="00CD11F5" w:rsidRPr="004F0B52" w:rsidRDefault="00CD11F5" w:rsidP="00CD11F5">
            <w:pPr>
              <w:ind w:left="720"/>
              <w:rPr>
                <w:rFonts w:ascii="Tw Cen MT" w:hAnsi="Tw Cen MT"/>
                <w:noProof/>
                <w:sz w:val="24"/>
              </w:rPr>
            </w:pPr>
          </w:p>
        </w:tc>
      </w:tr>
    </w:tbl>
    <w:p w14:paraId="0ABA12AF" w14:textId="77777777" w:rsidR="00B9053D" w:rsidRPr="004F0B52" w:rsidRDefault="00B9053D">
      <w:pPr>
        <w:rPr>
          <w:rFonts w:ascii="Tw Cen MT" w:hAnsi="Tw Cen MT"/>
        </w:rPr>
      </w:pPr>
    </w:p>
    <w:sectPr w:rsidR="00B9053D" w:rsidRPr="004F0B52" w:rsidSect="002F3DA6">
      <w:pgSz w:w="11906" w:h="16838"/>
      <w:pgMar w:top="1247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467B"/>
    <w:multiLevelType w:val="hybridMultilevel"/>
    <w:tmpl w:val="34866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5E33"/>
    <w:multiLevelType w:val="hybridMultilevel"/>
    <w:tmpl w:val="4AD05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3152"/>
    <w:multiLevelType w:val="hybridMultilevel"/>
    <w:tmpl w:val="84C02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52"/>
    <w:rsid w:val="001B62A2"/>
    <w:rsid w:val="001F18BA"/>
    <w:rsid w:val="002F3DA6"/>
    <w:rsid w:val="00463CF9"/>
    <w:rsid w:val="004F0B52"/>
    <w:rsid w:val="00614ABC"/>
    <w:rsid w:val="00692A75"/>
    <w:rsid w:val="00925D0C"/>
    <w:rsid w:val="00B61EC2"/>
    <w:rsid w:val="00B9053D"/>
    <w:rsid w:val="00C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97C3"/>
  <w15:chartTrackingRefBased/>
  <w15:docId w15:val="{82433376-E04B-4329-BA24-2BE02C8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B52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D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D0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Hofmann, Marion</dc:creator>
  <cp:keywords/>
  <dc:description/>
  <cp:lastModifiedBy>Hedwig Mayer</cp:lastModifiedBy>
  <cp:revision>2</cp:revision>
  <cp:lastPrinted>2020-08-26T06:26:00Z</cp:lastPrinted>
  <dcterms:created xsi:type="dcterms:W3CDTF">2020-08-26T06:27:00Z</dcterms:created>
  <dcterms:modified xsi:type="dcterms:W3CDTF">2020-08-26T06:27:00Z</dcterms:modified>
</cp:coreProperties>
</file>